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25" w:type="pct"/>
        <w:tblInd w:w="-61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594"/>
        <w:gridCol w:w="3899"/>
        <w:gridCol w:w="3454"/>
      </w:tblGrid>
      <w:tr w:rsidR="0061401A" w:rsidRPr="005608F1" w:rsidTr="009108C7">
        <w:trPr>
          <w:trHeight w:val="238"/>
          <w:tblHeader/>
        </w:trPr>
        <w:tc>
          <w:tcPr>
            <w:tcW w:w="1304" w:type="pct"/>
            <w:tcBorders>
              <w:bottom w:val="single" w:sz="8" w:space="0" w:color="4BACC6"/>
            </w:tcBorders>
            <w:shd w:val="clear" w:color="auto" w:fill="auto"/>
            <w:hideMark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b/>
                <w:noProof/>
                <w:sz w:val="20"/>
                <w:szCs w:val="20"/>
              </w:rPr>
              <w:t>Key Stakeholders</w:t>
            </w:r>
          </w:p>
        </w:tc>
        <w:tc>
          <w:tcPr>
            <w:tcW w:w="1960" w:type="pct"/>
            <w:tcBorders>
              <w:bottom w:val="single" w:sz="8" w:space="0" w:color="4BACC6"/>
            </w:tcBorders>
            <w:shd w:val="clear" w:color="auto" w:fill="auto"/>
            <w:hideMark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b/>
                <w:noProof/>
                <w:sz w:val="20"/>
                <w:szCs w:val="20"/>
              </w:rPr>
              <w:t>Role</w:t>
            </w:r>
          </w:p>
        </w:tc>
        <w:tc>
          <w:tcPr>
            <w:tcW w:w="1736" w:type="pct"/>
            <w:tcBorders>
              <w:bottom w:val="single" w:sz="8" w:space="0" w:color="4BACC6"/>
            </w:tcBorders>
            <w:shd w:val="clear" w:color="auto" w:fill="auto"/>
            <w:hideMark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b/>
                <w:noProof/>
                <w:sz w:val="20"/>
                <w:szCs w:val="20"/>
              </w:rPr>
              <w:t>Role in project preparation</w:t>
            </w:r>
          </w:p>
        </w:tc>
      </w:tr>
      <w:tr w:rsidR="0061401A" w:rsidRPr="005608F1" w:rsidTr="009108C7">
        <w:trPr>
          <w:trHeight w:val="706"/>
        </w:trPr>
        <w:tc>
          <w:tcPr>
            <w:tcW w:w="1304" w:type="pct"/>
            <w:shd w:val="clear" w:color="auto" w:fill="D2EAF1"/>
            <w:hideMark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Ministry of Forests and Soil Conservation </w:t>
            </w:r>
            <w:r w:rsidRPr="005608F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(MoFSC)</w:t>
            </w:r>
            <w:r w:rsidRPr="005608F1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 xml:space="preserve">Department of National Park and Wildlife Conservation </w:t>
            </w:r>
            <w:r w:rsidRPr="005608F1">
              <w:rPr>
                <w:rFonts w:ascii="Times New Roman" w:hAnsi="Times New Roman"/>
                <w:bCs/>
                <w:noProof/>
                <w:sz w:val="20"/>
                <w:szCs w:val="20"/>
              </w:rPr>
              <w:t>(DNPWC)</w:t>
            </w: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 xml:space="preserve">Department of Forests </w:t>
            </w:r>
            <w:r w:rsidRPr="005608F1">
              <w:rPr>
                <w:rFonts w:ascii="Times New Roman" w:hAnsi="Times New Roman"/>
                <w:bCs/>
                <w:noProof/>
                <w:sz w:val="20"/>
                <w:szCs w:val="20"/>
              </w:rPr>
              <w:t>(DOF)</w:t>
            </w:r>
          </w:p>
        </w:tc>
        <w:tc>
          <w:tcPr>
            <w:tcW w:w="1960" w:type="pct"/>
            <w:shd w:val="clear" w:color="auto" w:fill="D2EAF1"/>
            <w:hideMark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 xml:space="preserve">Focal ministry for biodiversity conservation and NRM. MoFSC manages forests, protected areas, and other related natural resources. </w:t>
            </w: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>DNPWC manage species conservation, PA system, and all 20 protected areas in Nepal.</w:t>
            </w: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 xml:space="preserve">DoF manage forest resources in national forests and 74 District Forest Offices. </w:t>
            </w:r>
          </w:p>
        </w:tc>
        <w:tc>
          <w:tcPr>
            <w:tcW w:w="1736" w:type="pct"/>
            <w:shd w:val="clear" w:color="auto" w:fill="D2EAF1"/>
            <w:hideMark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MoFSC is the p</w:t>
            </w: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>roject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’s</w:t>
            </w: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 xml:space="preserve"> lead ministry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. MoFSC will be the lead executing agency for the project in implementation, and will host and coordinate the Project Management Unit (PMU). As such, </w:t>
            </w: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>MoFSC will lead the development of the project (technical content, governance structure, budget, M&amp;E) and coordination with the other partner Ministries (MoPE, MoAD) and key districts. The key departments will provide technical input in project preparation, and.</w:t>
            </w:r>
          </w:p>
        </w:tc>
      </w:tr>
      <w:tr w:rsidR="0061401A" w:rsidRPr="005608F1" w:rsidTr="009108C7">
        <w:trPr>
          <w:trHeight w:val="1136"/>
        </w:trPr>
        <w:tc>
          <w:tcPr>
            <w:tcW w:w="1304" w:type="pct"/>
            <w:shd w:val="clear" w:color="auto" w:fill="auto"/>
          </w:tcPr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C23DA">
              <w:rPr>
                <w:rFonts w:ascii="Times New Roman" w:hAnsi="Times New Roman"/>
                <w:b/>
                <w:noProof/>
                <w:sz w:val="20"/>
                <w:szCs w:val="20"/>
              </w:rPr>
              <w:t>Partner Ministries</w:t>
            </w: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C23DA">
              <w:rPr>
                <w:rFonts w:ascii="Times New Roman" w:hAnsi="Times New Roman"/>
                <w:b/>
                <w:noProof/>
                <w:sz w:val="20"/>
                <w:szCs w:val="20"/>
              </w:rPr>
              <w:t>Ministry of Agricultural Development</w:t>
            </w:r>
            <w:r w:rsidRPr="008C23DA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8C23DA">
              <w:rPr>
                <w:rFonts w:ascii="Times New Roman" w:hAnsi="Times New Roman"/>
                <w:bCs/>
                <w:noProof/>
                <w:sz w:val="20"/>
                <w:szCs w:val="20"/>
              </w:rPr>
              <w:t>(MoAD)</w:t>
            </w:r>
            <w:r w:rsidRPr="008C23DA">
              <w:rPr>
                <w:rFonts w:ascii="Times New Roman" w:hAnsi="Times New Roman"/>
                <w:noProof/>
                <w:sz w:val="20"/>
                <w:szCs w:val="20"/>
              </w:rPr>
              <w:t>, Department of Agriculture</w:t>
            </w:r>
            <w:r w:rsidRPr="008C23D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(DoA)</w:t>
            </w:r>
            <w:r w:rsidRPr="008C23DA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C23DA">
              <w:rPr>
                <w:rFonts w:ascii="Times New Roman" w:hAnsi="Times New Roman"/>
                <w:b/>
                <w:noProof/>
                <w:sz w:val="20"/>
                <w:szCs w:val="20"/>
              </w:rPr>
              <w:t>Ministry of Livestock and Poultry Development</w:t>
            </w:r>
            <w:r w:rsidRPr="008C23DA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8C23D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(MoLPD), </w:t>
            </w:r>
            <w:r w:rsidRPr="008C23DA">
              <w:rPr>
                <w:rFonts w:ascii="Times New Roman" w:hAnsi="Times New Roman"/>
                <w:noProof/>
                <w:sz w:val="20"/>
                <w:szCs w:val="20"/>
              </w:rPr>
              <w:t>Department of Livestock Service</w:t>
            </w:r>
            <w:r w:rsidRPr="008C23D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(DoLS)</w:t>
            </w:r>
            <w:r w:rsidRPr="008C23DA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8C23DA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Ministry of Population and Environment </w:t>
            </w:r>
            <w:r w:rsidRPr="008C23D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(MOPE) (previously, </w:t>
            </w:r>
            <w:r w:rsidRPr="008C23DA">
              <w:rPr>
                <w:rFonts w:ascii="Times New Roman" w:hAnsi="Times New Roman"/>
                <w:noProof/>
                <w:sz w:val="20"/>
                <w:szCs w:val="20"/>
              </w:rPr>
              <w:t>Ministry of Science Technology and Environment), Department of Environment, Department of Hydrology and Meteorology,</w:t>
            </w:r>
            <w:r w:rsidRPr="008C23DA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Pr="008C23DA">
              <w:rPr>
                <w:rFonts w:ascii="Times New Roman" w:hAnsi="Times New Roman"/>
                <w:noProof/>
                <w:sz w:val="20"/>
                <w:szCs w:val="20"/>
              </w:rPr>
              <w:t>Alternative Energy Promotion Center</w:t>
            </w:r>
            <w:r w:rsidRPr="008C23DA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Pr="008C23DA">
              <w:rPr>
                <w:rFonts w:ascii="Times New Roman" w:hAnsi="Times New Roman"/>
                <w:bCs/>
                <w:noProof/>
                <w:sz w:val="20"/>
                <w:szCs w:val="20"/>
              </w:rPr>
              <w:t>(AEPC)</w:t>
            </w: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8C23D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Ministry of Local Development </w:t>
            </w:r>
            <w:r w:rsidRPr="008C23DA">
              <w:rPr>
                <w:rFonts w:ascii="Times New Roman" w:hAnsi="Times New Roman"/>
                <w:bCs/>
                <w:noProof/>
                <w:sz w:val="20"/>
                <w:szCs w:val="20"/>
              </w:rPr>
              <w:t>(MoLD)</w:t>
            </w: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C23D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Ministry of Home Affairs </w:t>
            </w:r>
            <w:r w:rsidRPr="008C23DA">
              <w:rPr>
                <w:rFonts w:ascii="Times New Roman" w:hAnsi="Times New Roman"/>
                <w:bCs/>
                <w:noProof/>
                <w:sz w:val="20"/>
                <w:szCs w:val="20"/>
              </w:rPr>
              <w:t>(MoHA)</w:t>
            </w:r>
          </w:p>
        </w:tc>
        <w:tc>
          <w:tcPr>
            <w:tcW w:w="1960" w:type="pct"/>
            <w:shd w:val="clear" w:color="auto" w:fill="auto"/>
          </w:tcPr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C23DA">
              <w:rPr>
                <w:rFonts w:ascii="Times New Roman" w:hAnsi="Times New Roman"/>
                <w:b/>
                <w:noProof/>
                <w:sz w:val="20"/>
                <w:szCs w:val="20"/>
              </w:rPr>
              <w:t>MoAD and DoA</w:t>
            </w:r>
            <w:r w:rsidRPr="008C23DA">
              <w:rPr>
                <w:rFonts w:ascii="Times New Roman" w:hAnsi="Times New Roman"/>
                <w:noProof/>
                <w:sz w:val="20"/>
                <w:szCs w:val="20"/>
              </w:rPr>
              <w:t xml:space="preserve"> is responsible for increasing agricultural productivity, promoting sustainable agriculture development and knowledge based farming. </w:t>
            </w: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C23DA">
              <w:rPr>
                <w:rFonts w:ascii="Times New Roman" w:hAnsi="Times New Roman"/>
                <w:b/>
                <w:noProof/>
                <w:sz w:val="20"/>
                <w:szCs w:val="20"/>
              </w:rPr>
              <w:t>MoLPD</w:t>
            </w:r>
            <w:r w:rsidRPr="008C23DA">
              <w:rPr>
                <w:rFonts w:ascii="Times New Roman" w:hAnsi="Times New Roman"/>
                <w:noProof/>
                <w:sz w:val="20"/>
                <w:szCs w:val="20"/>
              </w:rPr>
              <w:t xml:space="preserve"> support livestock management and development. DoLS is repsonsible on pasture management, feed development and livestock breeding at national level.</w:t>
            </w: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C23DA">
              <w:rPr>
                <w:rFonts w:ascii="Times New Roman" w:hAnsi="Times New Roman"/>
                <w:b/>
                <w:noProof/>
                <w:sz w:val="20"/>
                <w:szCs w:val="20"/>
              </w:rPr>
              <w:t>MoPE</w:t>
            </w:r>
            <w:r w:rsidRPr="008C23DA">
              <w:rPr>
                <w:rFonts w:ascii="Times New Roman" w:hAnsi="Times New Roman"/>
                <w:noProof/>
                <w:sz w:val="20"/>
                <w:szCs w:val="20"/>
              </w:rPr>
              <w:t xml:space="preserve"> is the apex body for all environment related issues, including: EIA approvals for development projects; climate change; carbon financing; climate finance; renewable energy; low carbon development; adaptation; pollution. </w:t>
            </w: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C23DA">
              <w:rPr>
                <w:rFonts w:ascii="Times New Roman" w:hAnsi="Times New Roman"/>
                <w:noProof/>
                <w:sz w:val="20"/>
                <w:szCs w:val="20"/>
              </w:rPr>
              <w:t>Focal point for MEAs like the UNFCCC, UNCCD and the Montreal Protocol. Mandated to population control of the country.</w:t>
            </w: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C23DA">
              <w:rPr>
                <w:rFonts w:ascii="Times New Roman" w:hAnsi="Times New Roman"/>
                <w:b/>
                <w:noProof/>
                <w:sz w:val="20"/>
                <w:szCs w:val="20"/>
              </w:rPr>
              <w:t>AEPC</w:t>
            </w:r>
            <w:r w:rsidRPr="008C23DA">
              <w:rPr>
                <w:rFonts w:ascii="Times New Roman" w:hAnsi="Times New Roman"/>
                <w:noProof/>
                <w:sz w:val="20"/>
                <w:szCs w:val="20"/>
              </w:rPr>
              <w:t xml:space="preserve"> under MoPE are mandated to support rural renewable energy policy and implementation at the rural level.</w:t>
            </w: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048F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MoLD</w:t>
            </w:r>
            <w:r w:rsidRPr="008C23D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has a m</w:t>
            </w:r>
            <w:r w:rsidRPr="008C23DA">
              <w:rPr>
                <w:rFonts w:ascii="Times New Roman" w:hAnsi="Times New Roman"/>
                <w:noProof/>
                <w:sz w:val="20"/>
                <w:szCs w:val="20"/>
              </w:rPr>
              <w:t xml:space="preserve">andate for local development </w:t>
            </w: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048F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MoHA</w:t>
            </w:r>
            <w:r w:rsidRPr="008C23D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has a m</w:t>
            </w:r>
            <w:r w:rsidRPr="008C23DA">
              <w:rPr>
                <w:rFonts w:ascii="Times New Roman" w:hAnsi="Times New Roman"/>
                <w:noProof/>
                <w:sz w:val="20"/>
                <w:szCs w:val="20"/>
              </w:rPr>
              <w:t>andate on disaster risk management and relief</w:t>
            </w:r>
          </w:p>
        </w:tc>
        <w:tc>
          <w:tcPr>
            <w:tcW w:w="1736" w:type="pct"/>
            <w:shd w:val="clear" w:color="auto" w:fill="auto"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062F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DoA</w:t>
            </w:r>
            <w:r w:rsidRPr="005608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has district level offices, and they will</w:t>
            </w:r>
            <w:r w:rsidRPr="005608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be engaged in the design of activities for community based sustainable agriculture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, as they will be partners in local level implementation.</w:t>
            </w:r>
            <w:r w:rsidRPr="005608F1">
              <w:rPr>
                <w:rFonts w:ascii="Times New Roman" w:hAnsi="Times New Roman"/>
                <w:bCs/>
                <w:noProof/>
                <w:sz w:val="20"/>
                <w:szCs w:val="20"/>
              </w:rPr>
              <w:t>.</w:t>
            </w: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62FC">
              <w:rPr>
                <w:rFonts w:ascii="Times New Roman" w:hAnsi="Times New Roman"/>
                <w:b/>
                <w:noProof/>
                <w:sz w:val="20"/>
                <w:szCs w:val="20"/>
              </w:rPr>
              <w:t>MoLPD</w:t>
            </w: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 xml:space="preserve"> has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district level offices in all </w:t>
            </w: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>districts and has services centers throughout the country. They will be engaged in the design of sustainable livestock activi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ties,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as they will be partners in local level implementation.</w:t>
            </w: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62FC">
              <w:rPr>
                <w:rFonts w:ascii="Times New Roman" w:hAnsi="Times New Roman"/>
                <w:b/>
                <w:noProof/>
                <w:sz w:val="20"/>
                <w:szCs w:val="20"/>
              </w:rPr>
              <w:t>MoPE</w:t>
            </w: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 xml:space="preserve"> will be included in project preparation, especially in regards to development of renewable energy alternatives to fuel wood. </w:t>
            </w: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62FC">
              <w:rPr>
                <w:rFonts w:ascii="Times New Roman" w:hAnsi="Times New Roman"/>
                <w:b/>
                <w:noProof/>
                <w:sz w:val="20"/>
                <w:szCs w:val="20"/>
              </w:rPr>
              <w:t>AEPC</w:t>
            </w: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 xml:space="preserve"> will be engaged in analysing and designing renewable energy options for communities. </w:t>
            </w:r>
          </w:p>
          <w:p w:rsidR="0061401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District Development Committees and Village Development Committees, under the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Ministry of Local Development, will be engaged in project design, as they will be partners in local level implementation.</w:t>
            </w:r>
          </w:p>
        </w:tc>
      </w:tr>
      <w:tr w:rsidR="0061401A" w:rsidRPr="005608F1" w:rsidTr="009108C7">
        <w:trPr>
          <w:trHeight w:val="257"/>
        </w:trPr>
        <w:tc>
          <w:tcPr>
            <w:tcW w:w="1304" w:type="pct"/>
            <w:shd w:val="clear" w:color="auto" w:fill="DEEAF6"/>
          </w:tcPr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C23DA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Infrastructre development sector: </w:t>
            </w: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C23DA">
              <w:rPr>
                <w:rFonts w:ascii="Times New Roman" w:hAnsi="Times New Roman"/>
                <w:noProof/>
                <w:sz w:val="20"/>
                <w:szCs w:val="20"/>
              </w:rPr>
              <w:t>Ministry of Physical Infrastructure and Transport (Department of Roads</w:t>
            </w:r>
            <w:r w:rsidRPr="008C23DA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, </w:t>
            </w:r>
            <w:r w:rsidRPr="008C23DA">
              <w:rPr>
                <w:rFonts w:ascii="Times New Roman" w:hAnsi="Times New Roman"/>
                <w:noProof/>
                <w:sz w:val="20"/>
                <w:szCs w:val="20"/>
              </w:rPr>
              <w:t>Department of Railways)</w:t>
            </w: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C23DA">
              <w:rPr>
                <w:rFonts w:ascii="Times New Roman" w:hAnsi="Times New Roman"/>
                <w:bCs/>
                <w:noProof/>
                <w:sz w:val="20"/>
                <w:szCs w:val="20"/>
              </w:rPr>
              <w:t>Ministry of Local Development (Department of Local Infrastructure Development and Roads)</w:t>
            </w: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C23DA">
              <w:rPr>
                <w:rFonts w:ascii="Times New Roman" w:hAnsi="Times New Roman"/>
                <w:noProof/>
                <w:sz w:val="20"/>
                <w:szCs w:val="20"/>
              </w:rPr>
              <w:t>Ministry of Irrigation (Department of Irrigation</w:t>
            </w:r>
            <w:r w:rsidRPr="008C23DA">
              <w:rPr>
                <w:rFonts w:ascii="Times New Roman" w:hAnsi="Times New Roman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1960" w:type="pct"/>
            <w:shd w:val="clear" w:color="auto" w:fill="DEEAF6"/>
          </w:tcPr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C23DA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Infrastructure development for national integration and socio-economic development </w:t>
            </w: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C23DA">
              <w:rPr>
                <w:rFonts w:ascii="Times New Roman" w:hAnsi="Times New Roman"/>
                <w:noProof/>
                <w:sz w:val="20"/>
                <w:szCs w:val="20"/>
              </w:rPr>
              <w:t>Mandate for local development</w:t>
            </w: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8C23DA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C23DA">
              <w:rPr>
                <w:rFonts w:ascii="Times New Roman" w:hAnsi="Times New Roman"/>
                <w:noProof/>
                <w:sz w:val="20"/>
                <w:szCs w:val="20"/>
              </w:rPr>
              <w:t>Mandate to develop, manage and monitor irrigation and drainage systems in Nepal.</w:t>
            </w:r>
          </w:p>
        </w:tc>
        <w:tc>
          <w:tcPr>
            <w:tcW w:w="1736" w:type="pct"/>
            <w:shd w:val="clear" w:color="auto" w:fill="DEEAF6"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sz w:val="20"/>
                <w:szCs w:val="20"/>
              </w:rPr>
            </w:pP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The infrastructure and development sector will be engaged, mainly at the national level, during project preparation for input on activities for cross-sectoral coordination. They will be invited to stakeholder workshops during preparation. </w:t>
            </w:r>
          </w:p>
        </w:tc>
      </w:tr>
      <w:tr w:rsidR="0061401A" w:rsidRPr="005608F1" w:rsidTr="009108C7">
        <w:trPr>
          <w:trHeight w:val="1380"/>
        </w:trPr>
        <w:tc>
          <w:tcPr>
            <w:tcW w:w="1304" w:type="pct"/>
            <w:shd w:val="clear" w:color="auto" w:fill="auto"/>
            <w:hideMark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Enforcement agencies and networks - </w:t>
            </w: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 xml:space="preserve">Nepal Army, Nepal Police, Nepal Armed Police, </w:t>
            </w:r>
            <w:r w:rsidRPr="004048FE">
              <w:rPr>
                <w:rFonts w:ascii="Times New Roman" w:hAnsi="Times New Roman"/>
                <w:noProof/>
                <w:sz w:val="20"/>
                <w:szCs w:val="20"/>
              </w:rPr>
              <w:t>Wildlife Crime Control Coordination Committee,</w:t>
            </w:r>
            <w:r w:rsidRPr="005608F1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>and the district level Wildlife Crime Control Bureau (WCCB).</w:t>
            </w:r>
            <w:r w:rsidRPr="005608F1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60" w:type="pct"/>
            <w:shd w:val="clear" w:color="auto" w:fill="auto"/>
            <w:hideMark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>Government bureau with authority to prosecute any wildlife related crimes. The WCCB has the legal authority to prosecute poachers.</w:t>
            </w:r>
          </w:p>
        </w:tc>
        <w:tc>
          <w:tcPr>
            <w:tcW w:w="1736" w:type="pct"/>
            <w:shd w:val="clear" w:color="auto" w:fill="auto"/>
            <w:hideMark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sz w:val="20"/>
                <w:szCs w:val="20"/>
              </w:rPr>
              <w:t xml:space="preserve">As enforcement agencies are key collaborators with DNPWC and DoF for wildlife conservation at the landscape level, their input to project design will be actively sought. </w:t>
            </w:r>
          </w:p>
        </w:tc>
      </w:tr>
      <w:tr w:rsidR="0061401A" w:rsidRPr="005608F1" w:rsidTr="009108C7">
        <w:trPr>
          <w:trHeight w:val="1213"/>
        </w:trPr>
        <w:tc>
          <w:tcPr>
            <w:tcW w:w="1304" w:type="pct"/>
            <w:shd w:val="clear" w:color="auto" w:fill="D2EAF1"/>
            <w:hideMark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b/>
                <w:noProof/>
                <w:sz w:val="20"/>
                <w:szCs w:val="20"/>
              </w:rPr>
              <w:t>Local Communities and Organizations</w:t>
            </w: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>Buffer Zone User Committees (BZUCs)</w:t>
            </w: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>Buffer Zone Community Forest User Groups (BZCFUGs)</w:t>
            </w: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>Community Forest User Groups (CFUGs)</w:t>
            </w:r>
          </w:p>
        </w:tc>
        <w:tc>
          <w:tcPr>
            <w:tcW w:w="1960" w:type="pct"/>
            <w:shd w:val="clear" w:color="auto" w:fill="D2EAF1"/>
            <w:hideMark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>Local communities are representated by community-based organizations with a mandate to support conservation initiatives in the buffer zones of protected areas and community forests and in corridors. They support monitoring, habitat management, community-based relief mechanisms and sustainable forest resource management.</w:t>
            </w:r>
          </w:p>
        </w:tc>
        <w:tc>
          <w:tcPr>
            <w:tcW w:w="1736" w:type="pct"/>
            <w:shd w:val="clear" w:color="auto" w:fill="D2EAF1"/>
            <w:hideMark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b/>
                <w:bCs/>
                <w:smallCaps/>
                <w:noProof/>
                <w:color w:val="000000"/>
                <w:sz w:val="20"/>
                <w:szCs w:val="20"/>
              </w:rPr>
            </w:pPr>
            <w:r w:rsidRPr="005608F1">
              <w:rPr>
                <w:rFonts w:ascii="Times New Roman" w:hAnsi="Times New Roman"/>
                <w:sz w:val="20"/>
                <w:szCs w:val="20"/>
              </w:rPr>
              <w:t>The project aims to work with local communities and CFUGs in key areas to implement activities. As a key beneficiary and project partner, a sample of villages and CFUGs will be consulted during preparation to inform activity design.</w:t>
            </w:r>
          </w:p>
        </w:tc>
      </w:tr>
      <w:tr w:rsidR="0061401A" w:rsidRPr="005608F1" w:rsidTr="009108C7">
        <w:trPr>
          <w:trHeight w:val="628"/>
        </w:trPr>
        <w:tc>
          <w:tcPr>
            <w:tcW w:w="1304" w:type="pct"/>
            <w:shd w:val="clear" w:color="auto" w:fill="auto"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b/>
                <w:noProof/>
                <w:sz w:val="20"/>
                <w:szCs w:val="20"/>
              </w:rPr>
              <w:t>Indigenous People</w:t>
            </w: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>Nepal Federation of Indigenous Nationalities (NEFIN)</w:t>
            </w: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>Indigenous peoples in project sites</w:t>
            </w:r>
          </w:p>
        </w:tc>
        <w:tc>
          <w:tcPr>
            <w:tcW w:w="1960" w:type="pct"/>
            <w:shd w:val="clear" w:color="auto" w:fill="auto"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 xml:space="preserve">There are 56 indigenous peoples groups in Nepal, including 11 groups in the Terai. Indigenous people are often disadvantaged or marginalised part of Nepali society. </w:t>
            </w:r>
          </w:p>
        </w:tc>
        <w:tc>
          <w:tcPr>
            <w:tcW w:w="1736" w:type="pct"/>
            <w:shd w:val="clear" w:color="auto" w:fill="auto"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sz w:val="20"/>
                <w:szCs w:val="20"/>
              </w:rPr>
            </w:pPr>
            <w:r w:rsidRPr="005608F1">
              <w:rPr>
                <w:rFonts w:ascii="Times New Roman" w:hAnsi="Times New Roman"/>
                <w:sz w:val="20"/>
                <w:szCs w:val="20"/>
              </w:rPr>
              <w:t xml:space="preserve">The project aims to work with indigenous communities in key areas to implement project activities. As a key beneficiary and project partner, a sample of indigenous villages will be consulted to inform activity design. NEFIN will be invited to stakeholder workshops during project preparation. </w:t>
            </w:r>
          </w:p>
        </w:tc>
      </w:tr>
      <w:tr w:rsidR="0061401A" w:rsidRPr="005608F1" w:rsidTr="009108C7">
        <w:trPr>
          <w:trHeight w:val="628"/>
        </w:trPr>
        <w:tc>
          <w:tcPr>
            <w:tcW w:w="1304" w:type="pct"/>
            <w:shd w:val="clear" w:color="auto" w:fill="D2EAF1"/>
            <w:hideMark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b/>
                <w:noProof/>
                <w:sz w:val="20"/>
                <w:szCs w:val="20"/>
              </w:rPr>
              <w:t>NGOs and Donors</w:t>
            </w: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e.g. </w:t>
            </w: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>National Trust for Nature Conservation</w:t>
            </w:r>
            <w:r w:rsidRPr="005608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(NTNC) </w:t>
            </w:r>
          </w:p>
        </w:tc>
        <w:tc>
          <w:tcPr>
            <w:tcW w:w="1960" w:type="pct"/>
            <w:shd w:val="clear" w:color="auto" w:fill="D2EAF1"/>
            <w:hideMark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>International and National, non-government organizations dedicated to biodiversity conservation.</w:t>
            </w:r>
          </w:p>
        </w:tc>
        <w:tc>
          <w:tcPr>
            <w:tcW w:w="1736" w:type="pct"/>
            <w:shd w:val="clear" w:color="auto" w:fill="D2EAF1"/>
            <w:hideMark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Key NGOs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and donors </w:t>
            </w:r>
            <w:r w:rsidRPr="005608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will be invited to stakeholder workshops during project preparation. </w:t>
            </w:r>
          </w:p>
        </w:tc>
      </w:tr>
      <w:tr w:rsidR="0061401A" w:rsidRPr="005608F1" w:rsidTr="009108C7">
        <w:trPr>
          <w:trHeight w:val="808"/>
        </w:trPr>
        <w:tc>
          <w:tcPr>
            <w:tcW w:w="1304" w:type="pct"/>
            <w:shd w:val="clear" w:color="auto" w:fill="auto"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b/>
                <w:noProof/>
                <w:sz w:val="20"/>
                <w:szCs w:val="20"/>
              </w:rPr>
              <w:t>Other GEF Agencies</w:t>
            </w: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bCs/>
                <w:noProof/>
                <w:sz w:val="20"/>
                <w:szCs w:val="20"/>
              </w:rPr>
              <w:t>IUCN, UNDP, World Bank, ADB and FAO</w:t>
            </w:r>
          </w:p>
        </w:tc>
        <w:tc>
          <w:tcPr>
            <w:tcW w:w="1960" w:type="pct"/>
            <w:shd w:val="clear" w:color="auto" w:fill="auto"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These GEF Agencies have strong roles in </w:t>
            </w: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 xml:space="preserve">policy, agriculture and NRM, </w:t>
            </w:r>
            <w:r w:rsidRPr="005608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and </w:t>
            </w: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 xml:space="preserve">infrastructure development; and are implementing GEF projects (e.g. current UNDP-GEF LDCF project). </w:t>
            </w:r>
          </w:p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36" w:type="pct"/>
            <w:shd w:val="clear" w:color="auto" w:fill="auto"/>
          </w:tcPr>
          <w:p w:rsidR="0061401A" w:rsidRPr="005608F1" w:rsidRDefault="0061401A" w:rsidP="009108C7">
            <w:pPr>
              <w:pStyle w:val="MediumShading1-Accent11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608F1">
              <w:rPr>
                <w:rFonts w:ascii="Times New Roman" w:hAnsi="Times New Roman"/>
                <w:noProof/>
                <w:sz w:val="20"/>
                <w:szCs w:val="20"/>
              </w:rPr>
              <w:t>These agencies are part of a multi-stakeholder forum on common issues. Through that forum, and through invitation to stakeholder workshops. the project will coordinate and consult with the GEF Agencies.</w:t>
            </w:r>
          </w:p>
        </w:tc>
      </w:tr>
    </w:tbl>
    <w:p w:rsidR="002F2B94" w:rsidRDefault="002F2B94" w:rsidP="0061401A">
      <w:bookmarkStart w:id="0" w:name="_GoBack"/>
      <w:bookmarkEnd w:id="0"/>
    </w:p>
    <w:sectPr w:rsidR="002F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1A"/>
    <w:rsid w:val="00074547"/>
    <w:rsid w:val="002F2B94"/>
    <w:rsid w:val="0061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CA94"/>
  <w15:chartTrackingRefBased/>
  <w15:docId w15:val="{38B61478-F66C-4F1F-8D91-A68EC6E5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01A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link w:val="MediumShading1-Accent1Char"/>
    <w:uiPriority w:val="1"/>
    <w:qFormat/>
    <w:rsid w:val="0061401A"/>
    <w:pPr>
      <w:ind w:left="0"/>
      <w:jc w:val="left"/>
    </w:pPr>
    <w:rPr>
      <w:rFonts w:ascii="Calibri" w:eastAsia="Times New Roman" w:hAnsi="Calibri" w:cs="Times New Roman"/>
    </w:rPr>
  </w:style>
  <w:style w:type="character" w:customStyle="1" w:styleId="MediumShading1-Accent1Char">
    <w:name w:val="Medium Shading 1 - Accent 1 Char"/>
    <w:link w:val="MediumShading1-Accent11"/>
    <w:uiPriority w:val="1"/>
    <w:rsid w:val="0061401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Rachel</dc:creator>
  <cp:keywords/>
  <dc:description/>
  <cp:lastModifiedBy>Kaplan, Rachel</cp:lastModifiedBy>
  <cp:revision>1</cp:revision>
  <dcterms:created xsi:type="dcterms:W3CDTF">2018-07-25T14:35:00Z</dcterms:created>
  <dcterms:modified xsi:type="dcterms:W3CDTF">2018-07-25T14:35:00Z</dcterms:modified>
</cp:coreProperties>
</file>